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BD80" w14:textId="77777777" w:rsidR="006C3B02" w:rsidRDefault="006C3B02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lang w:val="en-AU"/>
        </w:rPr>
      </w:pPr>
      <w:r>
        <w:rPr>
          <w:lang w:val="en-AU"/>
        </w:rPr>
        <w:t>BOLWARRA PRIMARY SCHOOL</w:t>
      </w:r>
    </w:p>
    <w:p w14:paraId="00D39427" w14:textId="0006A8A7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1602862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A02B6D">
        <w:t xml:space="preserve">Bolwarra Primary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0043E85C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2A2788">
        <w:t>ie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69DDE1DC" w:rsidR="001C1381" w:rsidRPr="001642C0" w:rsidRDefault="00A02B6D" w:rsidP="00BA7FA9">
      <w:pPr>
        <w:spacing w:before="40" w:after="240"/>
        <w:jc w:val="both"/>
      </w:pPr>
      <w:r>
        <w:t xml:space="preserve">Bolwarra Primary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</w:p>
    <w:p w14:paraId="746D636B" w14:textId="7DA6F494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A02B6D">
        <w:t>Bolwarra Primary’s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A02B6D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A02B6D">
        <w:rPr>
          <w:b/>
          <w:color w:val="000000" w:themeColor="text1"/>
        </w:rPr>
        <w:t>Becoming a volunteer</w:t>
      </w:r>
    </w:p>
    <w:p w14:paraId="346737ED" w14:textId="0E626544" w:rsidR="001E6CB4" w:rsidRPr="00CF5F8D" w:rsidRDefault="00E1406F" w:rsidP="00BA7FA9">
      <w:pPr>
        <w:spacing w:before="40" w:after="240"/>
        <w:jc w:val="both"/>
        <w:rPr>
          <w:b/>
          <w:i/>
        </w:rPr>
      </w:pPr>
      <w:r w:rsidRPr="00A02B6D">
        <w:t xml:space="preserve">Members of our school community who would like to </w:t>
      </w:r>
      <w:r w:rsidR="002A2788" w:rsidRPr="00A02B6D">
        <w:t>volunteer</w:t>
      </w:r>
      <w:r w:rsidRPr="00A02B6D">
        <w:t xml:space="preserve"> are encouraged to </w:t>
      </w:r>
      <w:r w:rsidR="00A02B6D">
        <w:t xml:space="preserve">speak to the Principal. </w:t>
      </w:r>
      <w:r w:rsidR="00A15D88"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3805EC6A" w:rsidR="004175C1" w:rsidRDefault="00726C5E" w:rsidP="00BA7FA9">
      <w:pPr>
        <w:spacing w:before="40" w:after="240"/>
        <w:jc w:val="both"/>
      </w:pPr>
      <w:r>
        <w:t xml:space="preserve">Bolwarra Primary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 w:rsidR="00FF77CB" w:rsidRPr="001B0146">
        <w:t xml:space="preserve">assist </w:t>
      </w:r>
      <w:r w:rsidR="00FF77CB" w:rsidRPr="00726C5E">
        <w:t>in our classrooms/with sports events/camps/excursions/school concerts/other events</w:t>
      </w:r>
      <w:r w:rsidR="00D645B7" w:rsidRPr="00726C5E">
        <w:t xml:space="preserve"> and programs</w:t>
      </w:r>
      <w:r w:rsidR="00FF77CB" w:rsidRPr="00726C5E">
        <w:t>.</w:t>
      </w:r>
      <w:r w:rsidR="00FF77CB">
        <w:t xml:space="preserve">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>
        <w:t xml:space="preserve">Bolwarra Primary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>
        <w:t xml:space="preserve">with </w:t>
      </w:r>
      <w:r w:rsidR="00A47A36">
        <w:t>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>
        <w:t>.</w:t>
      </w:r>
    </w:p>
    <w:p w14:paraId="0938F7C1" w14:textId="6AA2C152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726C5E">
        <w:t xml:space="preserve">Bolwarra Primary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>and produce their valid card to for verification in the following circumstances:</w:t>
      </w:r>
    </w:p>
    <w:p w14:paraId="69855ABD" w14:textId="1AF6F460" w:rsidR="00694BA4" w:rsidRPr="003563FB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63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3563F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3563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3563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14:paraId="4AB13B6F" w14:textId="086D8B5C" w:rsidR="00726C5E" w:rsidRPr="003563FB" w:rsidRDefault="00694BA4" w:rsidP="00093857">
      <w:pPr>
        <w:pStyle w:val="NormalWeb"/>
        <w:numPr>
          <w:ilvl w:val="0"/>
          <w:numId w:val="20"/>
        </w:numPr>
        <w:spacing w:before="40" w:after="240" w:line="259" w:lineRule="auto"/>
        <w:jc w:val="both"/>
      </w:pPr>
      <w:r w:rsidRPr="003563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3563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3563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3563FB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activity.</w:t>
      </w:r>
    </w:p>
    <w:p w14:paraId="099FFC38" w14:textId="0ABB3371" w:rsidR="001B0146" w:rsidRPr="00726C5E" w:rsidRDefault="00694BA4" w:rsidP="00093857">
      <w:pPr>
        <w:pStyle w:val="NormalWeb"/>
        <w:numPr>
          <w:ilvl w:val="0"/>
          <w:numId w:val="20"/>
        </w:numPr>
        <w:spacing w:before="40" w:after="240" w:line="259" w:lineRule="auto"/>
        <w:jc w:val="both"/>
      </w:pPr>
      <w:r w:rsidRPr="00726C5E">
        <w:rPr>
          <w:rFonts w:asciiTheme="minorHAnsi" w:hAnsiTheme="minorHAnsi" w:cstheme="minorBidi"/>
          <w:b/>
        </w:rPr>
        <w:t>Parent/family</w:t>
      </w:r>
      <w:r w:rsidRPr="00726C5E">
        <w:rPr>
          <w:rFonts w:asciiTheme="minorHAnsi" w:hAnsiTheme="minorHAnsi" w:cstheme="minorBidi"/>
        </w:rPr>
        <w:t xml:space="preserve"> </w:t>
      </w:r>
      <w:r w:rsidRPr="00726C5E">
        <w:rPr>
          <w:rFonts w:asciiTheme="minorHAnsi" w:hAnsiTheme="minorHAnsi" w:cstheme="minorBidi"/>
          <w:b/>
        </w:rPr>
        <w:t>volunteers</w:t>
      </w:r>
      <w:r w:rsidRPr="00726C5E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726C5E">
        <w:rPr>
          <w:rFonts w:asciiTheme="minorHAnsi" w:hAnsiTheme="minorHAnsi" w:cstheme="minorBidi"/>
        </w:rPr>
        <w:t>,</w:t>
      </w:r>
      <w:r w:rsidRPr="00726C5E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76C63C9C" w14:textId="77777777" w:rsidR="001B0146" w:rsidRPr="00726C5E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726C5E">
        <w:rPr>
          <w:rFonts w:asciiTheme="minorHAnsi" w:hAnsiTheme="minorHAnsi" w:cstheme="minorBidi"/>
          <w:b/>
        </w:rPr>
        <w:t>Parent/family volunteers</w:t>
      </w:r>
      <w:r w:rsidRPr="00726C5E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38C22E3A" w14:textId="17A60F94" w:rsidR="003C5130" w:rsidRPr="00726C5E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726C5E">
        <w:rPr>
          <w:b/>
        </w:rPr>
        <w:t>Parent/community School C</w:t>
      </w:r>
      <w:r w:rsidR="003C5130" w:rsidRPr="00726C5E">
        <w:rPr>
          <w:b/>
        </w:rPr>
        <w:t>ouncil members</w:t>
      </w:r>
      <w:r w:rsidR="003C5130" w:rsidRPr="00726C5E">
        <w:t xml:space="preserve"> sitting on School Council with student </w:t>
      </w:r>
      <w:r w:rsidRPr="00726C5E">
        <w:t xml:space="preserve">School Council </w:t>
      </w:r>
      <w:r w:rsidR="003C5130" w:rsidRPr="00726C5E">
        <w:t>members, regardless of whether their own child is a student member or not</w:t>
      </w:r>
    </w:p>
    <w:p w14:paraId="7678F43B" w14:textId="77777777" w:rsidR="00BB3F5B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  <w:r w:rsidR="00BB3F5B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14:paraId="372AAA2E" w14:textId="0A839F0A" w:rsidR="001E6CB4" w:rsidRPr="00BB3F5B" w:rsidRDefault="002669F7" w:rsidP="00BA7FA9">
      <w:pPr>
        <w:spacing w:before="40" w:after="240"/>
        <w:jc w:val="both"/>
        <w:rPr>
          <w:b/>
          <w:i/>
        </w:rPr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A65265">
        <w:t xml:space="preserve">. </w:t>
      </w:r>
      <w:r w:rsidR="00F60542" w:rsidRPr="001642C0">
        <w:t>For exam</w:t>
      </w:r>
      <w:r w:rsidR="00F60542" w:rsidRPr="003563FB">
        <w:t>ple</w:t>
      </w:r>
      <w:r w:rsidR="003563FB" w:rsidRPr="003563FB">
        <w:t xml:space="preserve"> </w:t>
      </w:r>
      <w:r w:rsidR="00753BBD" w:rsidRPr="003563FB">
        <w:t>volunteering on the</w:t>
      </w:r>
      <w:r w:rsidR="00F60542" w:rsidRPr="003563FB">
        <w:t xml:space="preserve"> </w:t>
      </w:r>
      <w:r w:rsidR="00A15D88" w:rsidRPr="003563FB">
        <w:t>weekend</w:t>
      </w:r>
      <w:r w:rsidR="00753BBD" w:rsidRPr="003563FB">
        <w:t xml:space="preserve"> for </w:t>
      </w:r>
      <w:r w:rsidR="00FF77CB" w:rsidRPr="003563FB">
        <w:t xml:space="preserve">gardening, </w:t>
      </w:r>
      <w:r w:rsidR="00753BBD" w:rsidRPr="003563FB">
        <w:t>maintenance,</w:t>
      </w:r>
      <w:r w:rsidR="00F60542" w:rsidRPr="003563FB">
        <w:t xml:space="preserve"> working bee</w:t>
      </w:r>
      <w:r w:rsidR="005659B5" w:rsidRPr="003563FB">
        <w:t xml:space="preserve">s, parents and friends club coordination, </w:t>
      </w:r>
      <w:r w:rsidR="00A65265" w:rsidRPr="003563FB">
        <w:t>school council</w:t>
      </w:r>
      <w:r w:rsidR="003563FB" w:rsidRPr="003563FB">
        <w:t xml:space="preserve"> and</w:t>
      </w:r>
      <w:r w:rsidR="005659B5" w:rsidRPr="003563FB">
        <w:t xml:space="preserve"> other fundraising groups that meet in the evenings</w:t>
      </w:r>
      <w:r w:rsidR="00753BBD" w:rsidRPr="003563FB">
        <w:t>]</w:t>
      </w:r>
      <w:r w:rsidR="003810A3" w:rsidRPr="001642C0">
        <w:t xml:space="preserve"> during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0AF10DA0" w:rsidR="005A2ABE" w:rsidRPr="003563FB" w:rsidRDefault="00F60542" w:rsidP="00BA7FA9">
      <w:pPr>
        <w:spacing w:before="40" w:after="240"/>
        <w:jc w:val="both"/>
      </w:pPr>
      <w:r w:rsidRPr="003563FB">
        <w:t>Volunteer</w:t>
      </w:r>
      <w:r w:rsidR="003810A3" w:rsidRPr="003563FB">
        <w:t>s</w:t>
      </w:r>
      <w:r w:rsidRPr="003563FB">
        <w:t xml:space="preserve"> for this type of work </w:t>
      </w:r>
      <w:r w:rsidR="00753BBD" w:rsidRPr="003563FB">
        <w:t xml:space="preserve">are not required to have </w:t>
      </w:r>
      <w:r w:rsidR="00081356" w:rsidRPr="003563FB">
        <w:t xml:space="preserve">WWC </w:t>
      </w:r>
      <w:r w:rsidR="00DD6513" w:rsidRPr="003563FB">
        <w:t>C</w:t>
      </w:r>
      <w:r w:rsidR="00081356" w:rsidRPr="003563FB">
        <w:t>learances</w:t>
      </w:r>
      <w:r w:rsidR="00FF77CB" w:rsidRPr="003563FB">
        <w:t xml:space="preserve"> or other suitability c</w:t>
      </w:r>
      <w:r w:rsidR="00753BBD" w:rsidRPr="003563FB">
        <w:t>hecks</w:t>
      </w:r>
      <w:r w:rsidR="00FF77CB" w:rsidRPr="003563FB">
        <w:t xml:space="preserve"> as they are not engaged in child-related </w:t>
      </w:r>
      <w:r w:rsidR="00D774E5" w:rsidRPr="003563FB">
        <w:t xml:space="preserve">work </w:t>
      </w:r>
      <w:r w:rsidR="00CF5F8D" w:rsidRPr="003563FB">
        <w:t>and children are not generally present during these activities.</w:t>
      </w:r>
      <w:r w:rsidR="00FF77CB" w:rsidRPr="003563FB">
        <w:t xml:space="preserve"> However, </w:t>
      </w:r>
      <w:r w:rsidR="003563FB">
        <w:t>Bolwarra Primary</w:t>
      </w:r>
      <w:r w:rsidR="00FF77CB" w:rsidRPr="003563FB">
        <w:t xml:space="preserve"> School reserves the right to undertake suitability checks, including </w:t>
      </w:r>
      <w:r w:rsidR="00081356" w:rsidRPr="003563FB">
        <w:t xml:space="preserve">requiring </w:t>
      </w:r>
      <w:r w:rsidR="003142C1" w:rsidRPr="003563FB">
        <w:t xml:space="preserve">proof of identity </w:t>
      </w:r>
      <w:r w:rsidR="00081356" w:rsidRPr="003563FB">
        <w:t xml:space="preserve">and </w:t>
      </w:r>
      <w:r w:rsidR="004175C1" w:rsidRPr="003563FB">
        <w:t>WWC</w:t>
      </w:r>
      <w:r w:rsidR="00FF77CB" w:rsidRPr="003563FB">
        <w:t xml:space="preserve"> </w:t>
      </w:r>
      <w:r w:rsidR="00DD6513" w:rsidRPr="003563FB">
        <w:t>C</w:t>
      </w:r>
      <w:r w:rsidR="00EA335E" w:rsidRPr="003563FB">
        <w:t>learance</w:t>
      </w:r>
      <w:r w:rsidR="00FF77CB" w:rsidRPr="003563FB">
        <w:t>, at its discretion if considered necessary for any particular activities or circumstances.</w:t>
      </w:r>
      <w:r w:rsidR="00A65265" w:rsidRPr="003563FB">
        <w:t xml:space="preserve"> 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7AC44F5" w:rsidR="00385DFA" w:rsidRPr="00385DFA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 xml:space="preserve">efore engaging in any work where children are present or reasonable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in </w:t>
      </w:r>
      <w:r w:rsidR="00513903">
        <w:t>our</w:t>
      </w:r>
      <w:r w:rsidR="00385DFA">
        <w:t xml:space="preserve"> </w:t>
      </w:r>
      <w:r w:rsidR="00385DFA" w:rsidRPr="003563FB">
        <w:t>Child Safety Induction Pack</w:t>
      </w:r>
      <w:r w:rsidR="00513903">
        <w:t xml:space="preserve"> </w:t>
      </w:r>
      <w:r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14:paraId="2CE11DE7" w14:textId="57961917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3563FB">
        <w:rPr>
          <w:rFonts w:cstheme="minorHAnsi"/>
          <w:bCs/>
        </w:rPr>
        <w:t xml:space="preserve">Bolwarra Primary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202DF742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r w:rsidR="00E301A0" w:rsidRPr="00C0019E">
        <w:rPr>
          <w:lang w:val="en"/>
        </w:rPr>
        <w:t xml:space="preserve">Child Safety </w:t>
      </w:r>
      <w:r w:rsidR="00524639">
        <w:rPr>
          <w:lang w:val="en"/>
        </w:rPr>
        <w:t xml:space="preserve">and Wellbeing </w:t>
      </w:r>
      <w:r w:rsidR="00E301A0" w:rsidRPr="00C0019E">
        <w:rPr>
          <w:lang w:val="en"/>
        </w:rPr>
        <w:t>Policy</w:t>
      </w:r>
      <w:r w:rsidR="0016796A">
        <w:rPr>
          <w:lang w:val="en"/>
        </w:rPr>
        <w:t>,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="00E301A0" w:rsidRPr="00E301A0">
        <w:rPr>
          <w:lang w:val="en"/>
        </w:rPr>
        <w:t xml:space="preserve"> Child Safety Code of Conduct</w:t>
      </w:r>
      <w:r w:rsidR="0016796A">
        <w:rPr>
          <w:lang w:val="en"/>
        </w:rPr>
        <w:t xml:space="preserve"> and our </w:t>
      </w:r>
      <w:r w:rsidR="0016796A" w:rsidRPr="003563FB">
        <w:rPr>
          <w:lang w:val="en"/>
        </w:rPr>
        <w:t>Statement of Values and School Philosophy</w:t>
      </w:r>
      <w:r w:rsidR="003563FB">
        <w:rPr>
          <w:lang w:val="en"/>
        </w:rPr>
        <w:t>.</w:t>
      </w:r>
      <w:r w:rsidR="0016796A">
        <w:rPr>
          <w:lang w:val="en"/>
        </w:rPr>
        <w:t xml:space="preserve"> </w:t>
      </w:r>
    </w:p>
    <w:p w14:paraId="2BF4E76C" w14:textId="55FE7E5A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2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3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4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6C28304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hyperlink r:id="rId15" w:history="1"/>
      <w:r>
        <w:t xml:space="preserve"> 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5317455D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>he principal has the discretion to make a decision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3563FB">
        <w:t>Bolwarra Primary.</w:t>
      </w:r>
    </w:p>
    <w:p w14:paraId="775C9830" w14:textId="24BC399B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6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17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health;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reduce the risk of reasonably foreseeable harm to the student, other students, staff or visitors;</w:t>
      </w:r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2FD00F56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 xml:space="preserve">Child Safety Responding and Reporting Obligations </w:t>
      </w:r>
      <w:r w:rsidR="00E822D0" w:rsidRPr="00E55C31">
        <w:rPr>
          <w:rFonts w:cstheme="minorHAnsi"/>
          <w:i/>
        </w:rPr>
        <w:t xml:space="preserve">(including Mandatory Reporting) </w:t>
      </w:r>
      <w:r w:rsidR="00E822D0" w:rsidRPr="00FD5F55">
        <w:rPr>
          <w:i/>
        </w:rPr>
        <w:t xml:space="preserve">Policy and Procedures. </w:t>
      </w:r>
    </w:p>
    <w:p w14:paraId="205AFDEB" w14:textId="761BFB23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03BFD938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3563FB">
        <w:rPr>
          <w:rFonts w:cstheme="minorHAnsi"/>
          <w:lang w:val="en"/>
        </w:rPr>
        <w:t xml:space="preserve">Nicole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18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70F46056" w14:textId="3DE2499A" w:rsidR="00F40326" w:rsidRPr="003563FB" w:rsidRDefault="003563FB" w:rsidP="00BA7FA9">
      <w:pPr>
        <w:spacing w:before="40" w:after="240" w:line="240" w:lineRule="auto"/>
        <w:jc w:val="both"/>
        <w:rPr>
          <w:lang w:eastAsia="en-AU"/>
        </w:rPr>
      </w:pPr>
      <w:r w:rsidRPr="003563FB">
        <w:rPr>
          <w:lang w:eastAsia="en-AU"/>
        </w:rPr>
        <w:t xml:space="preserve">Bolwarra Primary </w:t>
      </w:r>
      <w:r w:rsidR="00F40326" w:rsidRPr="003563FB">
        <w:rPr>
          <w:lang w:eastAsia="en-AU"/>
        </w:rPr>
        <w:t>School policies</w:t>
      </w:r>
      <w:r w:rsidR="00BA13E4" w:rsidRPr="003563FB">
        <w:rPr>
          <w:lang w:eastAsia="en-AU"/>
        </w:rPr>
        <w:t xml:space="preserve"> and resources relevant to this policy include</w:t>
      </w:r>
      <w:r w:rsidR="00F40326" w:rsidRPr="003563FB">
        <w:rPr>
          <w:lang w:eastAsia="en-AU"/>
        </w:rPr>
        <w:t>:</w:t>
      </w:r>
    </w:p>
    <w:p w14:paraId="5154E1C9" w14:textId="67025CB4" w:rsidR="002D1376" w:rsidRPr="003563FB" w:rsidRDefault="007C261B" w:rsidP="00FD5F55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3563FB">
        <w:rPr>
          <w:lang w:eastAsia="en-AU"/>
        </w:rPr>
        <w:t>[Insert links to related local polic</w:t>
      </w:r>
      <w:r w:rsidR="00A46E55" w:rsidRPr="003563FB">
        <w:rPr>
          <w:lang w:eastAsia="en-AU"/>
        </w:rPr>
        <w:t>i</w:t>
      </w:r>
      <w:r w:rsidRPr="003563FB">
        <w:rPr>
          <w:lang w:eastAsia="en-AU"/>
        </w:rPr>
        <w:t xml:space="preserve">es, </w:t>
      </w:r>
      <w:r w:rsidR="00BA13E4" w:rsidRPr="003563FB">
        <w:rPr>
          <w:lang w:eastAsia="en-AU"/>
        </w:rPr>
        <w:t xml:space="preserve">such as </w:t>
      </w:r>
      <w:r w:rsidRPr="003563FB">
        <w:rPr>
          <w:rFonts w:eastAsia="Times New Roman" w:cstheme="minorHAnsi"/>
          <w:i/>
          <w:color w:val="202020"/>
          <w:lang w:eastAsia="en-AU"/>
        </w:rPr>
        <w:t>Statement of Values</w:t>
      </w:r>
      <w:r w:rsidR="00C472CB" w:rsidRPr="003563FB">
        <w:rPr>
          <w:rFonts w:eastAsia="Times New Roman" w:cstheme="minorHAnsi"/>
          <w:i/>
          <w:color w:val="202020"/>
          <w:lang w:eastAsia="en-AU"/>
        </w:rPr>
        <w:t xml:space="preserve"> and School Philosophy</w:t>
      </w:r>
      <w:r w:rsidRPr="003563FB">
        <w:rPr>
          <w:rFonts w:eastAsia="Times New Roman" w:cstheme="minorHAnsi"/>
          <w:color w:val="202020"/>
          <w:lang w:eastAsia="en-AU"/>
        </w:rPr>
        <w:t xml:space="preserve">, </w:t>
      </w:r>
      <w:r w:rsidR="00FF77CB" w:rsidRPr="003563FB">
        <w:rPr>
          <w:rFonts w:eastAsia="Times New Roman" w:cstheme="minorHAnsi"/>
          <w:i/>
          <w:color w:val="202020"/>
          <w:lang w:eastAsia="en-AU"/>
        </w:rPr>
        <w:t>Visitors Policy</w:t>
      </w:r>
      <w:r w:rsidRPr="003563FB">
        <w:rPr>
          <w:rFonts w:eastAsia="Times New Roman" w:cstheme="minorHAnsi"/>
          <w:i/>
          <w:color w:val="202020"/>
          <w:lang w:eastAsia="en-AU"/>
        </w:rPr>
        <w:t xml:space="preserve">, </w:t>
      </w:r>
      <w:r w:rsidR="00A46E55" w:rsidRPr="003563FB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3563FB">
        <w:rPr>
          <w:rFonts w:eastAsia="Times New Roman" w:cstheme="minorHAnsi"/>
          <w:i/>
          <w:color w:val="202020"/>
          <w:lang w:eastAsia="en-AU"/>
        </w:rPr>
        <w:t>ty and Wellbeing</w:t>
      </w:r>
      <w:r w:rsidR="00A46E55" w:rsidRPr="003563FB">
        <w:rPr>
          <w:rFonts w:eastAsia="Times New Roman" w:cstheme="minorHAnsi"/>
          <w:i/>
          <w:color w:val="202020"/>
          <w:lang w:eastAsia="en-AU"/>
        </w:rPr>
        <w:t xml:space="preserve"> Policy, </w:t>
      </w:r>
      <w:r w:rsidR="00A46E55" w:rsidRPr="003563FB">
        <w:rPr>
          <w:i/>
        </w:rPr>
        <w:t>Child Safety Code of Conduct</w:t>
      </w:r>
      <w:r w:rsidR="008C5898" w:rsidRPr="003563FB">
        <w:rPr>
          <w:rFonts w:eastAsia="Times New Roman" w:cstheme="minorHAnsi"/>
          <w:i/>
          <w:lang w:eastAsia="en-AU"/>
        </w:rPr>
        <w:t xml:space="preserve">, </w:t>
      </w:r>
      <w:r w:rsidR="008C5898" w:rsidRPr="003563FB">
        <w:rPr>
          <w:rFonts w:cstheme="minorHAnsi"/>
          <w:i/>
        </w:rPr>
        <w:t xml:space="preserve">Child Safety Responding and Reporting Obligations </w:t>
      </w:r>
      <w:r w:rsidR="00E822D0" w:rsidRPr="003563FB">
        <w:rPr>
          <w:rFonts w:cstheme="minorHAnsi"/>
          <w:i/>
        </w:rPr>
        <w:t>Policy and Procedures</w:t>
      </w:r>
      <w:r w:rsidR="00E77F48" w:rsidRPr="003563FB">
        <w:rPr>
          <w:rFonts w:cstheme="minorHAnsi"/>
          <w:i/>
        </w:rPr>
        <w:t>, Inclusion and Diversity Policy</w:t>
      </w:r>
      <w:r w:rsidR="00BA13E4" w:rsidRPr="003563FB">
        <w:rPr>
          <w:i/>
        </w:rPr>
        <w:t xml:space="preserve">, </w:t>
      </w:r>
      <w:r w:rsidR="002D1376" w:rsidRPr="003563FB">
        <w:rPr>
          <w:rFonts w:eastAsia="Times New Roman" w:cstheme="minorHAnsi"/>
          <w:i/>
          <w:lang w:eastAsia="en-AU"/>
        </w:rPr>
        <w:t>Example School Child Safety Induction Pack</w:t>
      </w:r>
      <w:r w:rsidR="00BA13E4" w:rsidRPr="003563FB">
        <w:rPr>
          <w:i/>
        </w:rPr>
        <w:t>]</w:t>
      </w:r>
    </w:p>
    <w:p w14:paraId="1232639C" w14:textId="3AA1F6F8" w:rsidR="00F40326" w:rsidRPr="003563FB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563FB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9" w:history="1">
        <w:r w:rsidR="00B47059" w:rsidRPr="003563FB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3563FB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0" w:history="1">
        <w:r w:rsidR="00134F48" w:rsidRPr="003563FB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1" w:history="1">
        <w:r w:rsidR="008C5898" w:rsidRPr="003563FB">
          <w:rPr>
            <w:rStyle w:val="Hyperlink"/>
            <w:lang w:val="en"/>
          </w:rPr>
          <w:t>Privacy and Information Sharing</w:t>
        </w:r>
      </w:hyperlink>
      <w:r w:rsidR="008C5898" w:rsidRPr="003563FB">
        <w:rPr>
          <w:lang w:val="en"/>
        </w:rPr>
        <w:t xml:space="preserve"> </w:t>
      </w:r>
    </w:p>
    <w:p w14:paraId="60496456" w14:textId="5B85BF8D" w:rsidR="005A3C25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5A3C25" w:rsidRPr="003563FB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B47059" w:rsidRPr="003563FB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3563FB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F40326" w:rsidRPr="003563FB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3563FB" w:rsidRDefault="00421D9D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134F48" w:rsidRPr="003563FB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3563FB" w:rsidRDefault="00421D9D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1C57B5" w:rsidRPr="003563FB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3563FB" w:rsidRDefault="00421D9D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B47059" w:rsidRPr="003563FB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7AB7B745" w:rsidR="00A41CC0" w:rsidRDefault="003563FB" w:rsidP="00A41CC0">
            <w:r>
              <w:t>08/06/22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6010857" w14:textId="320AEF6A" w:rsidR="00A41CC0" w:rsidRDefault="003563FB" w:rsidP="00A41CC0">
            <w:r>
              <w:t>School Council 15/06/22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1AAD6F33" w14:textId="77777777" w:rsidR="003563FB" w:rsidRDefault="003563FB" w:rsidP="00A41CC0">
            <w:r>
              <w:t>Lee Gibbons</w:t>
            </w:r>
          </w:p>
          <w:p w14:paraId="415A77DC" w14:textId="398411D8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11CFB55D" w:rsidR="00A41CC0" w:rsidRDefault="003563FB" w:rsidP="00A41CC0">
            <w:r>
              <w:t>202</w:t>
            </w:r>
            <w:r w:rsidR="006C3B02">
              <w:t>5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36C" w14:textId="77777777" w:rsidR="00421D9D" w:rsidRDefault="00421D9D" w:rsidP="00D63553">
      <w:pPr>
        <w:spacing w:after="0" w:line="240" w:lineRule="auto"/>
      </w:pPr>
      <w:r>
        <w:separator/>
      </w:r>
    </w:p>
  </w:endnote>
  <w:endnote w:type="continuationSeparator" w:id="0">
    <w:p w14:paraId="64B3CA2F" w14:textId="77777777" w:rsidR="00421D9D" w:rsidRDefault="00421D9D" w:rsidP="00D63553">
      <w:pPr>
        <w:spacing w:after="0" w:line="240" w:lineRule="auto"/>
      </w:pPr>
      <w:r>
        <w:continuationSeparator/>
      </w:r>
    </w:p>
  </w:endnote>
  <w:endnote w:type="continuationNotice" w:id="1">
    <w:p w14:paraId="6C618494" w14:textId="77777777" w:rsidR="00421D9D" w:rsidRDefault="00421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3E77" w14:textId="77777777" w:rsidR="00421D9D" w:rsidRDefault="00421D9D" w:rsidP="00D63553">
      <w:pPr>
        <w:spacing w:after="0" w:line="240" w:lineRule="auto"/>
      </w:pPr>
      <w:r>
        <w:separator/>
      </w:r>
    </w:p>
  </w:footnote>
  <w:footnote w:type="continuationSeparator" w:id="0">
    <w:p w14:paraId="35913839" w14:textId="77777777" w:rsidR="00421D9D" w:rsidRDefault="00421D9D" w:rsidP="00D63553">
      <w:pPr>
        <w:spacing w:after="0" w:line="240" w:lineRule="auto"/>
      </w:pPr>
      <w:r>
        <w:continuationSeparator/>
      </w:r>
    </w:p>
  </w:footnote>
  <w:footnote w:type="continuationNotice" w:id="1">
    <w:p w14:paraId="2AD74726" w14:textId="77777777" w:rsidR="00421D9D" w:rsidRDefault="00421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0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26"/>
  </w:num>
  <w:num w:numId="10">
    <w:abstractNumId w:val="25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23"/>
  </w:num>
  <w:num w:numId="17">
    <w:abstractNumId w:val="14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32"/>
  </w:num>
  <w:num w:numId="25">
    <w:abstractNumId w:val="1"/>
  </w:num>
  <w:num w:numId="26">
    <w:abstractNumId w:val="20"/>
  </w:num>
  <w:num w:numId="27">
    <w:abstractNumId w:val="18"/>
  </w:num>
  <w:num w:numId="28">
    <w:abstractNumId w:val="24"/>
  </w:num>
  <w:num w:numId="29">
    <w:abstractNumId w:val="28"/>
  </w:num>
  <w:num w:numId="30">
    <w:abstractNumId w:val="13"/>
  </w:num>
  <w:num w:numId="31">
    <w:abstractNumId w:val="31"/>
  </w:num>
  <w:num w:numId="32">
    <w:abstractNumId w:val="2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rAUAj3c5Pi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5E3A"/>
    <w:rsid w:val="003365FE"/>
    <w:rsid w:val="00341E77"/>
    <w:rsid w:val="00342552"/>
    <w:rsid w:val="00343A8B"/>
    <w:rsid w:val="003563FB"/>
    <w:rsid w:val="00357C7C"/>
    <w:rsid w:val="00362032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21D9D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3B02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26C5E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D2272"/>
    <w:rsid w:val="007E1069"/>
    <w:rsid w:val="0080314C"/>
    <w:rsid w:val="00804DD4"/>
    <w:rsid w:val="008061AF"/>
    <w:rsid w:val="008167B9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02B6D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3F5B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exual-harassment/overview" TargetMode="External"/><Relationship Id="rId18" Type="http://schemas.openxmlformats.org/officeDocument/2006/relationships/hyperlink" Target="https://www2.education.vic.gov.au/pal/records-management/policy" TargetMode="External"/><Relationship Id="rId26" Type="http://schemas.openxmlformats.org/officeDocument/2006/relationships/hyperlink" Target="https://www2.education.vic.gov.au/pal/suitability-check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privacy-information-sharing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equal-opportunity/policy-and-guidelines" TargetMode="External"/><Relationship Id="rId17" Type="http://schemas.openxmlformats.org/officeDocument/2006/relationships/hyperlink" Target="https://www2.education.vic.gov.au/pal/privacy-information-sharing/policy" TargetMode="External"/><Relationship Id="rId25" Type="http://schemas.openxmlformats.org/officeDocument/2006/relationships/hyperlink" Target="https://www2.education.vic.gov.au/pal/volunteer-ohs-manage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schoolsprivacypolicy.aspx" TargetMode="External"/><Relationship Id="rId20" Type="http://schemas.openxmlformats.org/officeDocument/2006/relationships/hyperlink" Target="https://www2.education.vic.gov.au/pal/child-safe-standards/polic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volunteers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3" Type="http://schemas.openxmlformats.org/officeDocument/2006/relationships/hyperlink" Target="https://www2.education.vic.gov.au/pal/sexual-harassment/policy-and-guidelines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equal-opportunity/policy-and-guidelin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workplace-bullying/policy" TargetMode="External"/><Relationship Id="rId22" Type="http://schemas.openxmlformats.org/officeDocument/2006/relationships/hyperlink" Target="https://www2.education.vic.gov.au/pal/records-management/policy" TargetMode="External"/><Relationship Id="rId27" Type="http://schemas.openxmlformats.org/officeDocument/2006/relationships/hyperlink" Target="https://www2.education.vic.gov.au/pal/workplace-bullying/poli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Lee Gibbons</cp:lastModifiedBy>
  <cp:revision>6</cp:revision>
  <cp:lastPrinted>2017-12-15T00:49:00Z</cp:lastPrinted>
  <dcterms:created xsi:type="dcterms:W3CDTF">2022-05-26T06:24:00Z</dcterms:created>
  <dcterms:modified xsi:type="dcterms:W3CDTF">2023-03-10T01:43:00Z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{5fa938ff-87e2-4022-9dfa-0fb8cb55f5b3}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R20220278265</vt:lpwstr>
  </property>
  <property fmtid="{D5CDD505-2E9C-101B-9397-08002B2CF9AE}" pid="12" name="RecordPoint_SubmissionCompleted">
    <vt:lpwstr>2022-05-11T16:45:59.0536582+10:00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